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18"/>
        </w:rPr>
        <w:t xml:space="preserve">Перспективы и риски арбитражного спора:</w:t>
      </w:r>
    </w:p>
    <w:p>
      <w:pPr>
        <w:pStyle w:val="0"/>
      </w:pPr>
      <w:hyperlink w:history="0" r:id="rId4" w:tooltip="Перспективы и риски арбитражного спора: Споры, связанные с договором уступки права (требования) (цессии): Должник хочет признать договор уступки права (требования) недействительным (КонсультантПлюс, 2024) {КонсультантПлюс}">
        <w:r>
          <w:rPr>
            <w:sz w:val="20"/>
            <w:color w:val="0000ff"/>
          </w:rPr>
          <w:t xml:space="preserve">Споры, связанные с договором уступки права (требования) (цессии): Должник хочет признать договор уступки права (требования) недействительным</w:t>
        </w:r>
      </w:hyperlink>
    </w:p>
    <w:p>
      <w:pPr>
        <w:pStyle w:val="0"/>
      </w:pPr>
      <w:r>
        <w:rPr>
          <w:sz w:val="18"/>
        </w:rPr>
        <w:t xml:space="preserve">(КонсультантПлюс, 2024)</w:t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Список документов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hyperlink" Target="https://login.consultant.ru/link/?req=doc&amp;base=PRSSP&amp;n=126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4024.00.30</Application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terms:created xsi:type="dcterms:W3CDTF">2024-07-23T10:28:37Z</dcterms:created>
</cp:coreProperties>
</file>